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E1A13" w14:textId="511115E5" w:rsidR="007636E1" w:rsidRDefault="007636E1" w:rsidP="00045901">
      <w:pPr>
        <w:spacing w:line="276" w:lineRule="auto"/>
        <w:jc w:val="both"/>
        <w:rPr>
          <w:rFonts w:ascii="Avenir Next LT Pro Light" w:eastAsia="Aptos" w:hAnsi="Avenir Next LT Pro Light" w:cs="Times New Roman"/>
          <w:b/>
          <w:bCs/>
          <w:kern w:val="2"/>
          <w:sz w:val="32"/>
          <w:szCs w:val="32"/>
          <w:lang w:val="fr-FR"/>
          <w14:ligatures w14:val="standardContextual"/>
        </w:rPr>
      </w:pPr>
      <w:r w:rsidRPr="007636E1">
        <w:rPr>
          <w:rFonts w:ascii="Avenir Next LT Pro Light" w:eastAsia="Aptos" w:hAnsi="Avenir Next LT Pro Light" w:cs="Times New Roman"/>
          <w:b/>
          <w:bCs/>
          <w:kern w:val="2"/>
          <w:sz w:val="32"/>
          <w:szCs w:val="32"/>
          <w:lang w:val="fr-FR"/>
          <w14:ligatures w14:val="standardContextual"/>
        </w:rPr>
        <w:t xml:space="preserve">Code de conduite </w:t>
      </w:r>
      <w:r w:rsidR="00DE04E8">
        <w:rPr>
          <w:rFonts w:ascii="Avenir Next LT Pro Light" w:eastAsia="Aptos" w:hAnsi="Avenir Next LT Pro Light" w:cs="Times New Roman"/>
          <w:b/>
          <w:bCs/>
          <w:kern w:val="2"/>
          <w:sz w:val="32"/>
          <w:szCs w:val="32"/>
          <w:lang w:val="fr-FR"/>
          <w14:ligatures w14:val="standardContextual"/>
        </w:rPr>
        <w:t>des e</w:t>
      </w:r>
      <w:r w:rsidR="00F92B6E">
        <w:rPr>
          <w:rFonts w:ascii="Avenir Next LT Pro Light" w:eastAsia="Aptos" w:hAnsi="Avenir Next LT Pro Light" w:cs="Times New Roman"/>
          <w:b/>
          <w:bCs/>
          <w:kern w:val="2"/>
          <w:sz w:val="32"/>
          <w:szCs w:val="32"/>
          <w:lang w:val="fr-FR"/>
          <w14:ligatures w14:val="standardContextual"/>
        </w:rPr>
        <w:t>ntités sportives</w:t>
      </w:r>
    </w:p>
    <w:p w14:paraId="26FA8F61" w14:textId="44360144" w:rsidR="007636E1" w:rsidRPr="008E5D71" w:rsidRDefault="003A0541" w:rsidP="00045901">
      <w:pPr>
        <w:spacing w:after="16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r w:rsidRPr="003341A5">
        <w:rPr>
          <w:rFonts w:ascii="Avenir Next LT Pro Light" w:eastAsia="Aptos" w:hAnsi="Avenir Next LT Pro Light" w:cs="Times New Roman"/>
          <w:i/>
          <w:iCs/>
          <w:kern w:val="2"/>
          <w:lang w:val="fr-FR"/>
          <w14:ligatures w14:val="standardContextual"/>
        </w:rPr>
        <w:t>(À destination des</w:t>
      </w:r>
      <w:r>
        <w:rPr>
          <w:rFonts w:ascii="Avenir Next LT Pro Light" w:eastAsia="Aptos" w:hAnsi="Avenir Next LT Pro Light" w:cs="Times New Roman"/>
          <w:i/>
          <w:iCs/>
          <w:kern w:val="2"/>
          <w:lang w:val="fr-FR"/>
          <w14:ligatures w14:val="standardContextual"/>
        </w:rPr>
        <w:t xml:space="preserve"> </w:t>
      </w:r>
      <w:r w:rsidRPr="009778D7">
        <w:rPr>
          <w:rFonts w:ascii="Avenir Next LT Pro Light" w:eastAsia="Aptos" w:hAnsi="Avenir Next LT Pro Light" w:cs="Times New Roman"/>
          <w:i/>
          <w:iCs/>
          <w:kern w:val="2"/>
          <w14:ligatures w14:val="standardContextual"/>
        </w:rPr>
        <w:t>entités sportives</w:t>
      </w:r>
      <w:r>
        <w:rPr>
          <w:rFonts w:ascii="Avenir Next LT Pro Light" w:eastAsia="Aptos" w:hAnsi="Avenir Next LT Pro Light" w:cs="Times New Roman"/>
          <w:i/>
          <w:iCs/>
          <w:kern w:val="2"/>
          <w14:ligatures w14:val="standardContextual"/>
        </w:rPr>
        <w:t xml:space="preserve"> </w:t>
      </w:r>
      <w:r w:rsidRPr="003341A5">
        <w:rPr>
          <w:rFonts w:ascii="Avenir Next LT Pro Light" w:eastAsia="Aptos" w:hAnsi="Avenir Next LT Pro Light" w:cs="Times New Roman"/>
          <w:i/>
          <w:iCs/>
          <w:kern w:val="2"/>
          <w:lang w:val="fr-FR"/>
          <w14:ligatures w14:val="standardContextual"/>
        </w:rPr>
        <w:t>– Luxembourg)</w:t>
      </w:r>
    </w:p>
    <w:p w14:paraId="490390FB" w14:textId="77777777" w:rsidR="008B3064" w:rsidRPr="008B3064" w:rsidRDefault="008B3064" w:rsidP="00045901">
      <w:pPr>
        <w:spacing w:line="276" w:lineRule="auto"/>
        <w:jc w:val="both"/>
        <w:rPr>
          <w:rFonts w:ascii="Avenir Next LT Pro Light" w:eastAsia="Aptos" w:hAnsi="Avenir Next LT Pro Light" w:cs="Times New Roman"/>
          <w:i/>
          <w:iCs/>
          <w:kern w:val="2"/>
          <w:lang w:val="fr-FR"/>
          <w14:ligatures w14:val="standardContextual"/>
        </w:rPr>
      </w:pPr>
      <w:r w:rsidRPr="008B3064">
        <w:rPr>
          <w:rFonts w:ascii="Avenir Next LT Pro Light" w:eastAsia="Aptos" w:hAnsi="Avenir Next LT Pro Light" w:cs="Times New Roman"/>
          <w:i/>
          <w:iCs/>
          <w:kern w:val="2"/>
          <w14:ligatures w14:val="standardContextual"/>
        </w:rPr>
        <w:t>Ce document est fourni à titre de modèle et peut être adapté, selon ce qui est jugé approprié, afin de refléter le contexte, la structure et les besoins spécifiques de votre organisation.</w:t>
      </w:r>
    </w:p>
    <w:p w14:paraId="0255CE1D" w14:textId="77777777" w:rsidR="00844C66" w:rsidRPr="00844C66" w:rsidRDefault="00844C66" w:rsidP="00045901">
      <w:p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</w:p>
    <w:p w14:paraId="755B5028" w14:textId="188CB71B" w:rsidR="007636E1" w:rsidRPr="004D7A14" w:rsidRDefault="007636E1" w:rsidP="00045901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Avenir Next LT Pro Light" w:eastAsia="Aptos" w:hAnsi="Avenir Next LT Pro Light" w:cs="Times New Roman"/>
          <w:b/>
          <w:bCs/>
          <w:lang w:val="fr-FR"/>
        </w:rPr>
      </w:pPr>
      <w:r w:rsidRPr="004D7A14">
        <w:rPr>
          <w:rFonts w:ascii="Avenir Next LT Pro Light" w:eastAsia="Aptos" w:hAnsi="Avenir Next LT Pro Light" w:cs="Times New Roman"/>
          <w:b/>
          <w:bCs/>
          <w:lang w:val="fr-FR"/>
        </w:rPr>
        <w:t>Objectif et portée</w:t>
      </w:r>
    </w:p>
    <w:p w14:paraId="109E00AD" w14:textId="77777777" w:rsidR="004D7A14" w:rsidRPr="004D7A14" w:rsidRDefault="004D7A14" w:rsidP="00045901">
      <w:pPr>
        <w:spacing w:line="276" w:lineRule="auto"/>
        <w:jc w:val="both"/>
        <w:rPr>
          <w:rFonts w:ascii="Avenir Next LT Pro Light" w:eastAsia="Aptos" w:hAnsi="Avenir Next LT Pro Light" w:cs="Times New Roman"/>
          <w:b/>
          <w:bCs/>
          <w:lang w:val="fr-FR"/>
        </w:rPr>
      </w:pPr>
    </w:p>
    <w:p w14:paraId="4B1EF927" w14:textId="7A416098" w:rsidR="007636E1" w:rsidRDefault="007636E1" w:rsidP="00045901">
      <w:p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r w:rsidRPr="00F92B6E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Ce </w:t>
      </w:r>
      <w:r w:rsidR="0093560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c</w:t>
      </w:r>
      <w:r w:rsidRPr="00F92B6E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ode de conduite définit les principes, responsabilités et engagements attendus des</w:t>
      </w:r>
      <w:r w:rsidR="005659DB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</w:t>
      </w:r>
      <w:r w:rsidR="00F92B6E" w:rsidRPr="00F92B6E">
        <w:rPr>
          <w:rFonts w:ascii="Avenir Next LT Pro Light" w:eastAsia="Aptos" w:hAnsi="Avenir Next LT Pro Light" w:cs="Times New Roman"/>
          <w:kern w:val="2"/>
          <w14:ligatures w14:val="standardContextual"/>
        </w:rPr>
        <w:t>entités sportives</w:t>
      </w:r>
      <w:r w:rsidR="00F92B6E" w:rsidRPr="00F92B6E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</w:t>
      </w:r>
      <w:r w:rsidRPr="00F92B6E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afin de garantir un environnement sportif sûr, respectueux, inclusif et intègre</w:t>
      </w:r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.</w:t>
      </w:r>
    </w:p>
    <w:p w14:paraId="47E96D28" w14:textId="77777777" w:rsidR="00F92B6E" w:rsidRPr="007636E1" w:rsidRDefault="00F92B6E" w:rsidP="00045901">
      <w:p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</w:p>
    <w:p w14:paraId="7E493949" w14:textId="77777777" w:rsidR="007636E1" w:rsidRPr="007636E1" w:rsidRDefault="007636E1" w:rsidP="00045901">
      <w:pPr>
        <w:spacing w:after="24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Il constitue un cadre de référence destiné à :</w:t>
      </w:r>
    </w:p>
    <w:p w14:paraId="5A27A9D7" w14:textId="77777777" w:rsidR="007636E1" w:rsidRPr="007636E1" w:rsidRDefault="007636E1" w:rsidP="00045901">
      <w:pPr>
        <w:numPr>
          <w:ilvl w:val="0"/>
          <w:numId w:val="3"/>
        </w:num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proofErr w:type="gramStart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soutenir</w:t>
      </w:r>
      <w:proofErr w:type="gramEnd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la mise en œuvre des politiques de </w:t>
      </w:r>
      <w:proofErr w:type="spellStart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safeguarding</w:t>
      </w:r>
      <w:proofErr w:type="spellEnd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;</w:t>
      </w:r>
    </w:p>
    <w:p w14:paraId="3EAB94EB" w14:textId="77777777" w:rsidR="007636E1" w:rsidRPr="007636E1" w:rsidRDefault="007636E1" w:rsidP="00045901">
      <w:pPr>
        <w:numPr>
          <w:ilvl w:val="0"/>
          <w:numId w:val="3"/>
        </w:num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proofErr w:type="gramStart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assurer</w:t>
      </w:r>
      <w:proofErr w:type="gramEnd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la cohérence entre les différents acteurs du sport ;</w:t>
      </w:r>
    </w:p>
    <w:p w14:paraId="577CBFDB" w14:textId="77777777" w:rsidR="007636E1" w:rsidRPr="007636E1" w:rsidRDefault="007636E1" w:rsidP="00045901">
      <w:pPr>
        <w:numPr>
          <w:ilvl w:val="0"/>
          <w:numId w:val="3"/>
        </w:num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proofErr w:type="gramStart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promouvoir</w:t>
      </w:r>
      <w:proofErr w:type="gramEnd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une culture fondée sur la prévention, la responsabilité et le respect des droits humains.</w:t>
      </w:r>
    </w:p>
    <w:p w14:paraId="6D8CC736" w14:textId="77777777" w:rsidR="00F92B6E" w:rsidRDefault="00F92B6E" w:rsidP="00045901">
      <w:p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</w:p>
    <w:p w14:paraId="67D90F25" w14:textId="244B750E" w:rsidR="007636E1" w:rsidRPr="007636E1" w:rsidRDefault="007636E1" w:rsidP="00045901">
      <w:p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Ce </w:t>
      </w:r>
      <w:r w:rsidR="0093560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c</w:t>
      </w:r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ode s’applique à l’ensemble des activités organisées ou encadrées par l</w:t>
      </w:r>
      <w:r w:rsidR="005659DB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’entité sportive</w:t>
      </w:r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(entraînements, compétitions, stages, déplacements, événements, communication).</w:t>
      </w:r>
    </w:p>
    <w:p w14:paraId="0D26EF70" w14:textId="77777777" w:rsidR="007636E1" w:rsidRPr="007636E1" w:rsidRDefault="007636E1" w:rsidP="00045901">
      <w:p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</w:pPr>
    </w:p>
    <w:p w14:paraId="29BC4BDE" w14:textId="37382976" w:rsidR="007636E1" w:rsidRPr="004D7A14" w:rsidRDefault="007636E1" w:rsidP="00045901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Avenir Next LT Pro Light" w:eastAsia="Aptos" w:hAnsi="Avenir Next LT Pro Light" w:cs="Times New Roman"/>
          <w:b/>
          <w:bCs/>
          <w:lang w:val="fr-FR"/>
        </w:rPr>
      </w:pPr>
      <w:r w:rsidRPr="004D7A14">
        <w:rPr>
          <w:rFonts w:ascii="Avenir Next LT Pro Light" w:eastAsia="Aptos" w:hAnsi="Avenir Next LT Pro Light" w:cs="Times New Roman"/>
          <w:b/>
          <w:bCs/>
          <w:lang w:val="fr-FR"/>
        </w:rPr>
        <w:t>Principes fondamentaux</w:t>
      </w:r>
    </w:p>
    <w:p w14:paraId="1C244A04" w14:textId="77777777" w:rsidR="004D7A14" w:rsidRPr="004D7A14" w:rsidRDefault="004D7A14" w:rsidP="00045901">
      <w:pPr>
        <w:spacing w:line="276" w:lineRule="auto"/>
        <w:ind w:left="360"/>
        <w:jc w:val="both"/>
        <w:rPr>
          <w:rFonts w:ascii="Avenir Next LT Pro Light" w:eastAsia="Aptos" w:hAnsi="Avenir Next LT Pro Light" w:cs="Times New Roman"/>
          <w:b/>
          <w:bCs/>
          <w:lang w:val="fr-FR"/>
        </w:rPr>
      </w:pPr>
    </w:p>
    <w:p w14:paraId="37B7559F" w14:textId="3B55DBA9" w:rsidR="007636E1" w:rsidRPr="007636E1" w:rsidRDefault="005659DB" w:rsidP="00045901">
      <w:pPr>
        <w:spacing w:after="24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L</w:t>
      </w:r>
      <w:r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’entité sportive</w:t>
      </w:r>
      <w:r w:rsidR="007636E1"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s’engage à :</w:t>
      </w:r>
    </w:p>
    <w:p w14:paraId="0F5C83AA" w14:textId="77777777" w:rsidR="007636E1" w:rsidRPr="007636E1" w:rsidRDefault="007636E1" w:rsidP="00045901">
      <w:pPr>
        <w:numPr>
          <w:ilvl w:val="0"/>
          <w:numId w:val="4"/>
        </w:num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proofErr w:type="gramStart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placer</w:t>
      </w:r>
      <w:proofErr w:type="gramEnd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la sécurité, la santé et le bien-être des personnes au cœur de toutes ses décisions ;</w:t>
      </w:r>
    </w:p>
    <w:p w14:paraId="6B33CE7F" w14:textId="77777777" w:rsidR="007636E1" w:rsidRPr="007636E1" w:rsidRDefault="007636E1" w:rsidP="00045901">
      <w:pPr>
        <w:numPr>
          <w:ilvl w:val="0"/>
          <w:numId w:val="4"/>
        </w:num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proofErr w:type="gramStart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respecter</w:t>
      </w:r>
      <w:proofErr w:type="gramEnd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la dignité, l’intégrité et les droits de chaque personne ;</w:t>
      </w:r>
    </w:p>
    <w:p w14:paraId="3D85D1C0" w14:textId="77777777" w:rsidR="007636E1" w:rsidRPr="007636E1" w:rsidRDefault="007636E1" w:rsidP="00045901">
      <w:pPr>
        <w:numPr>
          <w:ilvl w:val="0"/>
          <w:numId w:val="4"/>
        </w:num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proofErr w:type="gramStart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garantir</w:t>
      </w:r>
      <w:proofErr w:type="gramEnd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un environnement non discriminatoire, inclusif et respectueux ;</w:t>
      </w:r>
    </w:p>
    <w:p w14:paraId="51CC9714" w14:textId="77777777" w:rsidR="007636E1" w:rsidRPr="007636E1" w:rsidRDefault="007636E1" w:rsidP="00045901">
      <w:pPr>
        <w:numPr>
          <w:ilvl w:val="0"/>
          <w:numId w:val="4"/>
        </w:num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proofErr w:type="gramStart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agir</w:t>
      </w:r>
      <w:proofErr w:type="gramEnd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conformément aux lois luxembourgeoises, aux règlements sportifs et aux politiques de </w:t>
      </w:r>
      <w:proofErr w:type="spellStart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safeguarding</w:t>
      </w:r>
      <w:proofErr w:type="spellEnd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applicables ;</w:t>
      </w:r>
    </w:p>
    <w:p w14:paraId="30CCBC6C" w14:textId="77777777" w:rsidR="007636E1" w:rsidRPr="007636E1" w:rsidRDefault="007636E1" w:rsidP="00045901">
      <w:pPr>
        <w:numPr>
          <w:ilvl w:val="0"/>
          <w:numId w:val="4"/>
        </w:num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proofErr w:type="gramStart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reconnaître</w:t>
      </w:r>
      <w:proofErr w:type="gramEnd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que la performance sportive ne prime jamais sur la protection des personnes.</w:t>
      </w:r>
    </w:p>
    <w:p w14:paraId="39655320" w14:textId="77777777" w:rsidR="007636E1" w:rsidRPr="007636E1" w:rsidRDefault="007636E1" w:rsidP="00045901">
      <w:p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</w:pPr>
    </w:p>
    <w:p w14:paraId="7F32CEEF" w14:textId="5EC420D9" w:rsidR="007636E1" w:rsidRPr="004D7A14" w:rsidRDefault="007636E1" w:rsidP="00045901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Avenir Next LT Pro Light" w:eastAsia="Aptos" w:hAnsi="Avenir Next LT Pro Light" w:cs="Times New Roman"/>
          <w:b/>
          <w:bCs/>
          <w:lang w:val="fr-FR"/>
        </w:rPr>
      </w:pPr>
      <w:r w:rsidRPr="004D7A14">
        <w:rPr>
          <w:rFonts w:ascii="Avenir Next LT Pro Light" w:eastAsia="Aptos" w:hAnsi="Avenir Next LT Pro Light" w:cs="Times New Roman"/>
          <w:b/>
          <w:bCs/>
          <w:lang w:val="fr-FR"/>
        </w:rPr>
        <w:t>Responsabilité institutionnelle</w:t>
      </w:r>
    </w:p>
    <w:p w14:paraId="17FCF809" w14:textId="77777777" w:rsidR="004D7A14" w:rsidRPr="004D7A14" w:rsidRDefault="004D7A14" w:rsidP="00045901">
      <w:pPr>
        <w:spacing w:line="276" w:lineRule="auto"/>
        <w:ind w:left="360"/>
        <w:jc w:val="both"/>
        <w:rPr>
          <w:rFonts w:ascii="Avenir Next LT Pro Light" w:eastAsia="Aptos" w:hAnsi="Avenir Next LT Pro Light" w:cs="Times New Roman"/>
          <w:b/>
          <w:bCs/>
          <w:lang w:val="fr-FR"/>
        </w:rPr>
      </w:pPr>
    </w:p>
    <w:p w14:paraId="5B399EA2" w14:textId="6E0AE2A1" w:rsidR="007636E1" w:rsidRPr="007636E1" w:rsidRDefault="005659DB" w:rsidP="00045901">
      <w:pPr>
        <w:spacing w:after="24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L</w:t>
      </w:r>
      <w:r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’entité sportive </w:t>
      </w:r>
      <w:r w:rsidR="007636E1"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reconnaît sa responsabilité de :</w:t>
      </w:r>
    </w:p>
    <w:p w14:paraId="4C8797C6" w14:textId="77777777" w:rsidR="007636E1" w:rsidRPr="007636E1" w:rsidRDefault="007636E1" w:rsidP="00045901">
      <w:pPr>
        <w:numPr>
          <w:ilvl w:val="0"/>
          <w:numId w:val="5"/>
        </w:num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proofErr w:type="gramStart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créer</w:t>
      </w:r>
      <w:proofErr w:type="gramEnd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et maintenir un environnement sportif sûr ;</w:t>
      </w:r>
    </w:p>
    <w:p w14:paraId="08D6687D" w14:textId="7C82811F" w:rsidR="007636E1" w:rsidRPr="007636E1" w:rsidRDefault="007636E1" w:rsidP="00045901">
      <w:pPr>
        <w:numPr>
          <w:ilvl w:val="0"/>
          <w:numId w:val="5"/>
        </w:num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proofErr w:type="gramStart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lastRenderedPageBreak/>
        <w:t>définir</w:t>
      </w:r>
      <w:proofErr w:type="gramEnd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des règles claires de comportement applicables à tous les acteurs </w:t>
      </w:r>
      <w:r w:rsidR="005659DB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(</w:t>
      </w:r>
      <w:r w:rsidR="0087658B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athlètes / </w:t>
      </w:r>
      <w:r w:rsidR="00F92B6E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sportifs</w:t>
      </w:r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, entraîneurs, bénévoles, dirigeants</w:t>
      </w:r>
      <w:r w:rsidR="005659DB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, parents</w:t>
      </w:r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) ;</w:t>
      </w:r>
    </w:p>
    <w:p w14:paraId="247349EB" w14:textId="23BD6437" w:rsidR="007636E1" w:rsidRPr="007636E1" w:rsidRDefault="007636E1" w:rsidP="00045901">
      <w:pPr>
        <w:numPr>
          <w:ilvl w:val="0"/>
          <w:numId w:val="5"/>
        </w:num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proofErr w:type="gramStart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veiller</w:t>
      </w:r>
      <w:proofErr w:type="gramEnd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à la cohérence entre les politiques internes et les </w:t>
      </w:r>
      <w:r w:rsidR="0093560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c</w:t>
      </w:r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odes de conduite existants ;</w:t>
      </w:r>
    </w:p>
    <w:p w14:paraId="75E79349" w14:textId="57EC19CB" w:rsidR="007636E1" w:rsidRPr="007636E1" w:rsidRDefault="007636E1" w:rsidP="00045901">
      <w:pPr>
        <w:numPr>
          <w:ilvl w:val="0"/>
          <w:numId w:val="5"/>
        </w:num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proofErr w:type="gramStart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prévenir</w:t>
      </w:r>
      <w:proofErr w:type="gramEnd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les situations de violence, d’abus, d</w:t>
      </w:r>
      <w:r w:rsidR="005659DB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’</w:t>
      </w:r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harcèlement, de discrimination ou de négligence.</w:t>
      </w:r>
    </w:p>
    <w:p w14:paraId="500A4C55" w14:textId="77777777" w:rsidR="007636E1" w:rsidRPr="007636E1" w:rsidRDefault="007636E1" w:rsidP="00045901">
      <w:p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</w:pPr>
    </w:p>
    <w:p w14:paraId="361F399D" w14:textId="2C4FD0E9" w:rsidR="007636E1" w:rsidRPr="004D7A14" w:rsidRDefault="007636E1" w:rsidP="00045901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Avenir Next LT Pro Light" w:eastAsia="Aptos" w:hAnsi="Avenir Next LT Pro Light" w:cs="Times New Roman"/>
          <w:b/>
          <w:bCs/>
          <w:lang w:val="fr-FR"/>
        </w:rPr>
      </w:pPr>
      <w:r w:rsidRPr="004D7A14">
        <w:rPr>
          <w:rFonts w:ascii="Avenir Next LT Pro Light" w:eastAsia="Aptos" w:hAnsi="Avenir Next LT Pro Light" w:cs="Times New Roman"/>
          <w:b/>
          <w:bCs/>
          <w:lang w:val="fr-FR"/>
        </w:rPr>
        <w:t>Gouvernance et organisation</w:t>
      </w:r>
    </w:p>
    <w:p w14:paraId="13A4975F" w14:textId="77777777" w:rsidR="004D7A14" w:rsidRPr="004D7A14" w:rsidRDefault="004D7A14" w:rsidP="00045901">
      <w:pPr>
        <w:spacing w:line="276" w:lineRule="auto"/>
        <w:jc w:val="both"/>
        <w:rPr>
          <w:rFonts w:ascii="Avenir Next LT Pro Light" w:eastAsia="Aptos" w:hAnsi="Avenir Next LT Pro Light" w:cs="Times New Roman"/>
          <w:b/>
          <w:bCs/>
          <w:lang w:val="fr-FR"/>
        </w:rPr>
      </w:pPr>
    </w:p>
    <w:p w14:paraId="66F2029E" w14:textId="7290A7D8" w:rsidR="007636E1" w:rsidRPr="007636E1" w:rsidRDefault="007636E1" w:rsidP="00045901">
      <w:pPr>
        <w:spacing w:after="24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L</w:t>
      </w:r>
      <w:r w:rsidR="005659DB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’entité sportive</w:t>
      </w:r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s’engage à :</w:t>
      </w:r>
    </w:p>
    <w:p w14:paraId="6D5B4548" w14:textId="493949F7" w:rsidR="007636E1" w:rsidRPr="007636E1" w:rsidRDefault="007636E1" w:rsidP="00045901">
      <w:pPr>
        <w:numPr>
          <w:ilvl w:val="0"/>
          <w:numId w:val="6"/>
        </w:num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proofErr w:type="gramStart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désigner</w:t>
      </w:r>
      <w:proofErr w:type="gramEnd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un référent </w:t>
      </w:r>
      <w:proofErr w:type="spellStart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safeguarding</w:t>
      </w:r>
      <w:proofErr w:type="spellEnd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</w:t>
      </w:r>
      <w:r w:rsidR="005659DB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/ </w:t>
      </w:r>
      <w:r w:rsidR="00B05CBA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p</w:t>
      </w:r>
      <w:r w:rsidR="005659DB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oint de contact (POC) </w:t>
      </w:r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ou une personne responsable clairement identifiable ;</w:t>
      </w:r>
    </w:p>
    <w:p w14:paraId="617DCBD9" w14:textId="77777777" w:rsidR="007636E1" w:rsidRPr="007636E1" w:rsidRDefault="007636E1" w:rsidP="00045901">
      <w:pPr>
        <w:numPr>
          <w:ilvl w:val="0"/>
          <w:numId w:val="6"/>
        </w:num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proofErr w:type="gramStart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mettre</w:t>
      </w:r>
      <w:proofErr w:type="gramEnd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en place des procédures accessibles pour le signalement des situations préoccupantes ;</w:t>
      </w:r>
    </w:p>
    <w:p w14:paraId="320224DE" w14:textId="77777777" w:rsidR="007636E1" w:rsidRPr="007636E1" w:rsidRDefault="007636E1" w:rsidP="00045901">
      <w:pPr>
        <w:numPr>
          <w:ilvl w:val="0"/>
          <w:numId w:val="6"/>
        </w:num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proofErr w:type="gramStart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garantir</w:t>
      </w:r>
      <w:proofErr w:type="gramEnd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que les rôles, responsabilités et lignes hiérarchiques sont clairs ;</w:t>
      </w:r>
    </w:p>
    <w:p w14:paraId="174D14BE" w14:textId="77777777" w:rsidR="007636E1" w:rsidRPr="007636E1" w:rsidRDefault="007636E1" w:rsidP="00045901">
      <w:pPr>
        <w:numPr>
          <w:ilvl w:val="0"/>
          <w:numId w:val="6"/>
        </w:num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proofErr w:type="gramStart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assurer</w:t>
      </w:r>
      <w:proofErr w:type="gramEnd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une gestion transparente et équitable des décisions.</w:t>
      </w:r>
    </w:p>
    <w:p w14:paraId="03218A6E" w14:textId="77777777" w:rsidR="007636E1" w:rsidRPr="007636E1" w:rsidRDefault="007636E1" w:rsidP="00045901">
      <w:p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</w:pPr>
    </w:p>
    <w:p w14:paraId="38C8436D" w14:textId="6C48E3E1" w:rsidR="007636E1" w:rsidRPr="004D7A14" w:rsidRDefault="007636E1" w:rsidP="00045901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Avenir Next LT Pro Light" w:eastAsia="Aptos" w:hAnsi="Avenir Next LT Pro Light" w:cs="Times New Roman"/>
          <w:b/>
          <w:bCs/>
          <w:lang w:val="fr-FR"/>
        </w:rPr>
      </w:pPr>
      <w:r w:rsidRPr="004D7A14">
        <w:rPr>
          <w:rFonts w:ascii="Avenir Next LT Pro Light" w:eastAsia="Aptos" w:hAnsi="Avenir Next LT Pro Light" w:cs="Times New Roman"/>
          <w:b/>
          <w:bCs/>
          <w:lang w:val="fr-FR"/>
        </w:rPr>
        <w:t>Encadrement, recrutement et formation</w:t>
      </w:r>
    </w:p>
    <w:p w14:paraId="7AF6E1FF" w14:textId="77777777" w:rsidR="004D7A14" w:rsidRPr="004D7A14" w:rsidRDefault="004D7A14" w:rsidP="00045901">
      <w:pPr>
        <w:spacing w:line="276" w:lineRule="auto"/>
        <w:jc w:val="both"/>
        <w:rPr>
          <w:rFonts w:ascii="Avenir Next LT Pro Light" w:eastAsia="Aptos" w:hAnsi="Avenir Next LT Pro Light" w:cs="Times New Roman"/>
          <w:b/>
          <w:bCs/>
          <w:lang w:val="fr-FR"/>
        </w:rPr>
      </w:pPr>
    </w:p>
    <w:p w14:paraId="75CF7F8B" w14:textId="7079DB31" w:rsidR="007636E1" w:rsidRPr="007636E1" w:rsidRDefault="008B1116" w:rsidP="00045901">
      <w:pPr>
        <w:spacing w:after="24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L</w:t>
      </w:r>
      <w:r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’entité sportive</w:t>
      </w:r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</w:t>
      </w:r>
      <w:r w:rsidR="007636E1"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s’engage à :</w:t>
      </w:r>
    </w:p>
    <w:p w14:paraId="345CEB43" w14:textId="77777777" w:rsidR="007636E1" w:rsidRPr="007636E1" w:rsidRDefault="007636E1" w:rsidP="00045901">
      <w:pPr>
        <w:numPr>
          <w:ilvl w:val="0"/>
          <w:numId w:val="7"/>
        </w:num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proofErr w:type="gramStart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veiller</w:t>
      </w:r>
      <w:proofErr w:type="gramEnd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à ce que les entraîneurs, encadrants et bénévoles soient qualifiés et formés ;</w:t>
      </w:r>
    </w:p>
    <w:p w14:paraId="6BBA353D" w14:textId="77777777" w:rsidR="007636E1" w:rsidRPr="007636E1" w:rsidRDefault="007636E1" w:rsidP="00045901">
      <w:pPr>
        <w:numPr>
          <w:ilvl w:val="0"/>
          <w:numId w:val="7"/>
        </w:num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proofErr w:type="gramStart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intégrer</w:t>
      </w:r>
      <w:proofErr w:type="gramEnd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les principes de </w:t>
      </w:r>
      <w:proofErr w:type="spellStart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safeguarding</w:t>
      </w:r>
      <w:proofErr w:type="spellEnd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dans les processus de recrutement ;</w:t>
      </w:r>
    </w:p>
    <w:p w14:paraId="61996570" w14:textId="77777777" w:rsidR="007636E1" w:rsidRPr="007636E1" w:rsidRDefault="007636E1" w:rsidP="00045901">
      <w:pPr>
        <w:numPr>
          <w:ilvl w:val="0"/>
          <w:numId w:val="7"/>
        </w:num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proofErr w:type="gramStart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proposer</w:t>
      </w:r>
      <w:proofErr w:type="gramEnd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des actions de sensibilisation et de formation régulières ;</w:t>
      </w:r>
    </w:p>
    <w:p w14:paraId="54D55254" w14:textId="77777777" w:rsidR="007636E1" w:rsidRPr="007636E1" w:rsidRDefault="007636E1" w:rsidP="00045901">
      <w:pPr>
        <w:numPr>
          <w:ilvl w:val="0"/>
          <w:numId w:val="7"/>
        </w:num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proofErr w:type="gramStart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soutenir</w:t>
      </w:r>
      <w:proofErr w:type="gramEnd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les acteurs sportifs dans l’application des bonnes pratiques.</w:t>
      </w:r>
    </w:p>
    <w:p w14:paraId="16C435C9" w14:textId="77777777" w:rsidR="007636E1" w:rsidRPr="007636E1" w:rsidRDefault="007636E1" w:rsidP="00045901">
      <w:p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</w:pPr>
    </w:p>
    <w:p w14:paraId="00502EA0" w14:textId="363449CE" w:rsidR="007636E1" w:rsidRPr="004D7A14" w:rsidRDefault="007636E1" w:rsidP="00045901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Avenir Next LT Pro Light" w:eastAsia="Aptos" w:hAnsi="Avenir Next LT Pro Light" w:cs="Times New Roman"/>
          <w:b/>
          <w:bCs/>
          <w:lang w:val="fr-FR"/>
        </w:rPr>
      </w:pPr>
      <w:r w:rsidRPr="004D7A14">
        <w:rPr>
          <w:rFonts w:ascii="Avenir Next LT Pro Light" w:eastAsia="Aptos" w:hAnsi="Avenir Next LT Pro Light" w:cs="Times New Roman"/>
          <w:b/>
          <w:bCs/>
          <w:lang w:val="fr-FR"/>
        </w:rPr>
        <w:t>Environnement sportif et prévention</w:t>
      </w:r>
    </w:p>
    <w:p w14:paraId="14F28064" w14:textId="77777777" w:rsidR="004D7A14" w:rsidRPr="004D7A14" w:rsidRDefault="004D7A14" w:rsidP="00045901">
      <w:pPr>
        <w:spacing w:line="276" w:lineRule="auto"/>
        <w:jc w:val="both"/>
        <w:rPr>
          <w:rFonts w:ascii="Avenir Next LT Pro Light" w:eastAsia="Aptos" w:hAnsi="Avenir Next LT Pro Light" w:cs="Times New Roman"/>
          <w:b/>
          <w:bCs/>
          <w:lang w:val="fr-FR"/>
        </w:rPr>
      </w:pPr>
    </w:p>
    <w:p w14:paraId="1F1951FF" w14:textId="6B7F2A67" w:rsidR="007636E1" w:rsidRPr="007636E1" w:rsidRDefault="008B1116" w:rsidP="00045901">
      <w:pPr>
        <w:spacing w:after="24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L</w:t>
      </w:r>
      <w:r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’entité sportive </w:t>
      </w:r>
      <w:r w:rsidR="007636E1"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s’engage à :</w:t>
      </w:r>
    </w:p>
    <w:p w14:paraId="296B5B03" w14:textId="77777777" w:rsidR="007636E1" w:rsidRPr="007636E1" w:rsidRDefault="007636E1" w:rsidP="00045901">
      <w:pPr>
        <w:numPr>
          <w:ilvl w:val="0"/>
          <w:numId w:val="8"/>
        </w:num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proofErr w:type="gramStart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promouvoir</w:t>
      </w:r>
      <w:proofErr w:type="gramEnd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un climat sportif respectueux et bienveillant ;</w:t>
      </w:r>
    </w:p>
    <w:p w14:paraId="168F4CDF" w14:textId="77777777" w:rsidR="007636E1" w:rsidRPr="007636E1" w:rsidRDefault="007636E1" w:rsidP="00045901">
      <w:pPr>
        <w:numPr>
          <w:ilvl w:val="0"/>
          <w:numId w:val="8"/>
        </w:num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proofErr w:type="gramStart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prévenir</w:t>
      </w:r>
      <w:proofErr w:type="gramEnd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les abus de pouvoir et les conflits d’intérêts ;</w:t>
      </w:r>
    </w:p>
    <w:p w14:paraId="1284C521" w14:textId="77777777" w:rsidR="007636E1" w:rsidRPr="007636E1" w:rsidRDefault="007636E1" w:rsidP="00045901">
      <w:pPr>
        <w:numPr>
          <w:ilvl w:val="0"/>
          <w:numId w:val="8"/>
        </w:num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proofErr w:type="gramStart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encadrer</w:t>
      </w:r>
      <w:proofErr w:type="gramEnd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les situations à risque (tête-à-tête, déplacements, hébergement, communication numérique) ;</w:t>
      </w:r>
    </w:p>
    <w:p w14:paraId="0A8B4CB9" w14:textId="77777777" w:rsidR="007636E1" w:rsidRPr="007636E1" w:rsidRDefault="007636E1" w:rsidP="00045901">
      <w:pPr>
        <w:numPr>
          <w:ilvl w:val="0"/>
          <w:numId w:val="8"/>
        </w:num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proofErr w:type="gramStart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respecter</w:t>
      </w:r>
      <w:proofErr w:type="gramEnd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la vie privée et la protection des données personnelles.</w:t>
      </w:r>
    </w:p>
    <w:p w14:paraId="1D0AFE7F" w14:textId="77777777" w:rsidR="007636E1" w:rsidRPr="007636E1" w:rsidRDefault="007636E1" w:rsidP="00045901">
      <w:p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</w:pPr>
    </w:p>
    <w:p w14:paraId="49D204D6" w14:textId="46BAF8AD" w:rsidR="007636E1" w:rsidRPr="004D7A14" w:rsidRDefault="007636E1" w:rsidP="00045901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Avenir Next LT Pro Light" w:eastAsia="Aptos" w:hAnsi="Avenir Next LT Pro Light" w:cs="Times New Roman"/>
          <w:b/>
          <w:bCs/>
          <w:lang w:val="fr-FR"/>
        </w:rPr>
      </w:pPr>
      <w:r w:rsidRPr="004D7A14">
        <w:rPr>
          <w:rFonts w:ascii="Avenir Next LT Pro Light" w:eastAsia="Aptos" w:hAnsi="Avenir Next LT Pro Light" w:cs="Times New Roman"/>
          <w:b/>
          <w:bCs/>
          <w:lang w:val="fr-FR"/>
        </w:rPr>
        <w:t>Communication et comportement numériques</w:t>
      </w:r>
    </w:p>
    <w:p w14:paraId="16188BE1" w14:textId="77777777" w:rsidR="004D7A14" w:rsidRPr="004D7A14" w:rsidRDefault="004D7A14" w:rsidP="00045901">
      <w:pPr>
        <w:spacing w:line="276" w:lineRule="auto"/>
        <w:jc w:val="both"/>
        <w:rPr>
          <w:rFonts w:ascii="Avenir Next LT Pro Light" w:eastAsia="Aptos" w:hAnsi="Avenir Next LT Pro Light" w:cs="Times New Roman"/>
          <w:b/>
          <w:bCs/>
          <w:lang w:val="fr-FR"/>
        </w:rPr>
      </w:pPr>
    </w:p>
    <w:p w14:paraId="19105026" w14:textId="4A385E8D" w:rsidR="007636E1" w:rsidRPr="007636E1" w:rsidRDefault="008B1116" w:rsidP="00045901">
      <w:pPr>
        <w:spacing w:after="24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L</w:t>
      </w:r>
      <w:r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’entité sportive</w:t>
      </w:r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</w:t>
      </w:r>
      <w:r w:rsidR="007636E1"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s’engage à :</w:t>
      </w:r>
    </w:p>
    <w:p w14:paraId="21DF8372" w14:textId="77777777" w:rsidR="007636E1" w:rsidRPr="007636E1" w:rsidRDefault="007636E1" w:rsidP="00045901">
      <w:pPr>
        <w:numPr>
          <w:ilvl w:val="0"/>
          <w:numId w:val="9"/>
        </w:num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proofErr w:type="gramStart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adopter</w:t>
      </w:r>
      <w:proofErr w:type="gramEnd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une communication responsable, transparente et respectueuse ;</w:t>
      </w:r>
    </w:p>
    <w:p w14:paraId="16C26463" w14:textId="77777777" w:rsidR="007636E1" w:rsidRPr="007636E1" w:rsidRDefault="007636E1" w:rsidP="00045901">
      <w:pPr>
        <w:numPr>
          <w:ilvl w:val="0"/>
          <w:numId w:val="9"/>
        </w:num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proofErr w:type="gramStart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lastRenderedPageBreak/>
        <w:t>encadrer</w:t>
      </w:r>
      <w:proofErr w:type="gramEnd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l’utilisation des outils numériques et des réseaux sociaux ;</w:t>
      </w:r>
    </w:p>
    <w:p w14:paraId="3A91F7BE" w14:textId="77777777" w:rsidR="007636E1" w:rsidRPr="007636E1" w:rsidRDefault="007636E1" w:rsidP="00045901">
      <w:pPr>
        <w:numPr>
          <w:ilvl w:val="0"/>
          <w:numId w:val="9"/>
        </w:num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proofErr w:type="gramStart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prévenir</w:t>
      </w:r>
      <w:proofErr w:type="gramEnd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toute forme de cyberharcèlement ou de diffusion de contenus inappropriés.</w:t>
      </w:r>
    </w:p>
    <w:p w14:paraId="0CD9FC55" w14:textId="77777777" w:rsidR="007636E1" w:rsidRPr="007636E1" w:rsidRDefault="007636E1" w:rsidP="00045901">
      <w:p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</w:pPr>
    </w:p>
    <w:p w14:paraId="21B20739" w14:textId="63C58567" w:rsidR="007636E1" w:rsidRPr="004D7A14" w:rsidRDefault="007636E1" w:rsidP="00045901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Avenir Next LT Pro Light" w:eastAsia="Aptos" w:hAnsi="Avenir Next LT Pro Light" w:cs="Times New Roman"/>
          <w:b/>
          <w:bCs/>
          <w:lang w:val="fr-FR"/>
        </w:rPr>
      </w:pPr>
      <w:proofErr w:type="spellStart"/>
      <w:r w:rsidRPr="004D7A14">
        <w:rPr>
          <w:rFonts w:ascii="Avenir Next LT Pro Light" w:eastAsia="Aptos" w:hAnsi="Avenir Next LT Pro Light" w:cs="Times New Roman"/>
          <w:b/>
          <w:bCs/>
          <w:lang w:val="fr-FR"/>
        </w:rPr>
        <w:t>Safeguarding</w:t>
      </w:r>
      <w:proofErr w:type="spellEnd"/>
      <w:r w:rsidRPr="004D7A14">
        <w:rPr>
          <w:rFonts w:ascii="Avenir Next LT Pro Light" w:eastAsia="Aptos" w:hAnsi="Avenir Next LT Pro Light" w:cs="Times New Roman"/>
          <w:b/>
          <w:bCs/>
          <w:lang w:val="fr-FR"/>
        </w:rPr>
        <w:t>, signalement et gestion des situations</w:t>
      </w:r>
    </w:p>
    <w:p w14:paraId="4E09A9D7" w14:textId="77777777" w:rsidR="004D7A14" w:rsidRPr="004D7A14" w:rsidRDefault="004D7A14" w:rsidP="00045901">
      <w:pPr>
        <w:spacing w:line="276" w:lineRule="auto"/>
        <w:jc w:val="both"/>
        <w:rPr>
          <w:rFonts w:ascii="Avenir Next LT Pro Light" w:eastAsia="Aptos" w:hAnsi="Avenir Next LT Pro Light" w:cs="Times New Roman"/>
          <w:b/>
          <w:bCs/>
          <w:lang w:val="fr-FR"/>
        </w:rPr>
      </w:pPr>
    </w:p>
    <w:p w14:paraId="45CBCDFA" w14:textId="6CF416EE" w:rsidR="007636E1" w:rsidRPr="007636E1" w:rsidRDefault="008B1116" w:rsidP="00045901">
      <w:pPr>
        <w:spacing w:after="24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L</w:t>
      </w:r>
      <w:r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’entité sportive </w:t>
      </w:r>
      <w:r w:rsidR="007636E1"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s’engage à :</w:t>
      </w:r>
    </w:p>
    <w:p w14:paraId="36A9D978" w14:textId="77777777" w:rsidR="007636E1" w:rsidRPr="007636E1" w:rsidRDefault="007636E1" w:rsidP="00045901">
      <w:pPr>
        <w:numPr>
          <w:ilvl w:val="0"/>
          <w:numId w:val="10"/>
        </w:num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proofErr w:type="gramStart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encourager</w:t>
      </w:r>
      <w:proofErr w:type="gramEnd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une culture de la parole et du signalement ;</w:t>
      </w:r>
    </w:p>
    <w:p w14:paraId="2D08AEC8" w14:textId="77777777" w:rsidR="007636E1" w:rsidRPr="007636E1" w:rsidRDefault="007636E1" w:rsidP="00045901">
      <w:pPr>
        <w:numPr>
          <w:ilvl w:val="0"/>
          <w:numId w:val="10"/>
        </w:num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proofErr w:type="gramStart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prendre</w:t>
      </w:r>
      <w:proofErr w:type="gramEnd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au sérieux toute inquiétude exprimée ;</w:t>
      </w:r>
    </w:p>
    <w:p w14:paraId="4125EE7F" w14:textId="77777777" w:rsidR="007636E1" w:rsidRPr="007636E1" w:rsidRDefault="007636E1" w:rsidP="00045901">
      <w:pPr>
        <w:numPr>
          <w:ilvl w:val="0"/>
          <w:numId w:val="10"/>
        </w:num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proofErr w:type="gramStart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traiter</w:t>
      </w:r>
      <w:proofErr w:type="gramEnd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les situations de manière appropriée, proportionnée et confidentielle ;</w:t>
      </w:r>
    </w:p>
    <w:p w14:paraId="673B4EAF" w14:textId="77777777" w:rsidR="007636E1" w:rsidRPr="007636E1" w:rsidRDefault="007636E1" w:rsidP="00045901">
      <w:pPr>
        <w:numPr>
          <w:ilvl w:val="0"/>
          <w:numId w:val="10"/>
        </w:num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proofErr w:type="gramStart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orienter</w:t>
      </w:r>
      <w:proofErr w:type="gramEnd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, le cas échéant, vers les instances compétentes, y compris au niveau national via l’ALIS.</w:t>
      </w:r>
    </w:p>
    <w:p w14:paraId="543C03A9" w14:textId="77777777" w:rsidR="00F92B6E" w:rsidRDefault="00F92B6E" w:rsidP="00045901">
      <w:p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</w:p>
    <w:p w14:paraId="69467387" w14:textId="2547F2D8" w:rsidR="007636E1" w:rsidRPr="007636E1" w:rsidRDefault="007636E1" w:rsidP="00045901">
      <w:p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Signaler une situation vise à protéger les personnes, et non à sanctionner sans discernement.</w:t>
      </w:r>
    </w:p>
    <w:p w14:paraId="4ECAE7B8" w14:textId="77777777" w:rsidR="007636E1" w:rsidRPr="007636E1" w:rsidRDefault="007636E1" w:rsidP="00045901">
      <w:p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</w:pPr>
    </w:p>
    <w:p w14:paraId="59286A57" w14:textId="798D0653" w:rsidR="007636E1" w:rsidRPr="004D7A14" w:rsidRDefault="007636E1" w:rsidP="00045901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Avenir Next LT Pro Light" w:eastAsia="Aptos" w:hAnsi="Avenir Next LT Pro Light" w:cs="Times New Roman"/>
          <w:b/>
          <w:bCs/>
          <w:lang w:val="fr-FR"/>
        </w:rPr>
      </w:pPr>
      <w:r w:rsidRPr="004D7A14">
        <w:rPr>
          <w:rFonts w:ascii="Avenir Next LT Pro Light" w:eastAsia="Aptos" w:hAnsi="Avenir Next LT Pro Light" w:cs="Times New Roman"/>
          <w:b/>
          <w:bCs/>
          <w:lang w:val="fr-FR"/>
        </w:rPr>
        <w:t>Responsabilité, suivi et amélioration continue</w:t>
      </w:r>
    </w:p>
    <w:p w14:paraId="0C2EC6CB" w14:textId="77777777" w:rsidR="004D7A14" w:rsidRPr="004D7A14" w:rsidRDefault="004D7A14" w:rsidP="00045901">
      <w:pPr>
        <w:spacing w:line="276" w:lineRule="auto"/>
        <w:jc w:val="both"/>
        <w:rPr>
          <w:rFonts w:ascii="Avenir Next LT Pro Light" w:eastAsia="Aptos" w:hAnsi="Avenir Next LT Pro Light" w:cs="Times New Roman"/>
          <w:b/>
          <w:bCs/>
          <w:lang w:val="fr-FR"/>
        </w:rPr>
      </w:pPr>
    </w:p>
    <w:p w14:paraId="7E84660A" w14:textId="6D233BBA" w:rsidR="007636E1" w:rsidRPr="007636E1" w:rsidRDefault="008B1116" w:rsidP="00045901">
      <w:pPr>
        <w:spacing w:after="240"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L</w:t>
      </w:r>
      <w:r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’entité sportive</w:t>
      </w:r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</w:t>
      </w:r>
      <w:r w:rsidR="007636E1"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s’engage à :</w:t>
      </w:r>
    </w:p>
    <w:p w14:paraId="384B970D" w14:textId="105CF942" w:rsidR="007636E1" w:rsidRPr="007636E1" w:rsidRDefault="007636E1" w:rsidP="00045901">
      <w:pPr>
        <w:numPr>
          <w:ilvl w:val="0"/>
          <w:numId w:val="11"/>
        </w:num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proofErr w:type="gramStart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assurer</w:t>
      </w:r>
      <w:proofErr w:type="gramEnd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le suivi de la mise en œuvre du présent </w:t>
      </w:r>
      <w:r w:rsidR="0093560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c</w:t>
      </w:r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ode ;</w:t>
      </w:r>
    </w:p>
    <w:p w14:paraId="46EEACA8" w14:textId="77777777" w:rsidR="007636E1" w:rsidRPr="007636E1" w:rsidRDefault="007636E1" w:rsidP="00045901">
      <w:pPr>
        <w:numPr>
          <w:ilvl w:val="0"/>
          <w:numId w:val="11"/>
        </w:num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proofErr w:type="gramStart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évaluer</w:t>
      </w:r>
      <w:proofErr w:type="gramEnd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régulièrement les pratiques et procédures ;</w:t>
      </w:r>
    </w:p>
    <w:p w14:paraId="4D628831" w14:textId="77777777" w:rsidR="007636E1" w:rsidRPr="007636E1" w:rsidRDefault="007636E1" w:rsidP="00045901">
      <w:pPr>
        <w:numPr>
          <w:ilvl w:val="0"/>
          <w:numId w:val="11"/>
        </w:num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proofErr w:type="gramStart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adapter</w:t>
      </w:r>
      <w:proofErr w:type="gramEnd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ses politiques en fonction des retours d’expérience et de l’évolution des standards ;</w:t>
      </w:r>
    </w:p>
    <w:p w14:paraId="580F8D80" w14:textId="77777777" w:rsidR="007636E1" w:rsidRPr="007636E1" w:rsidRDefault="007636E1" w:rsidP="00045901">
      <w:pPr>
        <w:numPr>
          <w:ilvl w:val="0"/>
          <w:numId w:val="11"/>
        </w:num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proofErr w:type="gramStart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coopérer</w:t>
      </w:r>
      <w:proofErr w:type="gramEnd"/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 avec les autorités et partenaires compétents.</w:t>
      </w:r>
    </w:p>
    <w:p w14:paraId="67B44F33" w14:textId="77777777" w:rsidR="007636E1" w:rsidRPr="007636E1" w:rsidRDefault="007636E1" w:rsidP="00045901">
      <w:p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</w:pPr>
    </w:p>
    <w:p w14:paraId="0B4F405B" w14:textId="029EBA13" w:rsidR="007636E1" w:rsidRPr="004D7A14" w:rsidRDefault="007636E1" w:rsidP="00045901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Avenir Next LT Pro Light" w:eastAsia="Aptos" w:hAnsi="Avenir Next LT Pro Light" w:cs="Times New Roman"/>
          <w:b/>
          <w:bCs/>
          <w:lang w:val="fr-FR"/>
        </w:rPr>
      </w:pPr>
      <w:r w:rsidRPr="004D7A14">
        <w:rPr>
          <w:rFonts w:ascii="Avenir Next LT Pro Light" w:eastAsia="Aptos" w:hAnsi="Avenir Next LT Pro Light" w:cs="Times New Roman"/>
          <w:b/>
          <w:bCs/>
          <w:lang w:val="fr-FR"/>
        </w:rPr>
        <w:t>Engagement institutionnel</w:t>
      </w:r>
    </w:p>
    <w:p w14:paraId="3AE51D38" w14:textId="77777777" w:rsidR="004D7A14" w:rsidRPr="004D7A14" w:rsidRDefault="004D7A14" w:rsidP="00045901">
      <w:pPr>
        <w:spacing w:line="276" w:lineRule="auto"/>
        <w:jc w:val="both"/>
        <w:rPr>
          <w:rFonts w:ascii="Avenir Next LT Pro Light" w:eastAsia="Aptos" w:hAnsi="Avenir Next LT Pro Light" w:cs="Times New Roman"/>
          <w:b/>
          <w:bCs/>
          <w:lang w:val="fr-FR"/>
        </w:rPr>
      </w:pPr>
    </w:p>
    <w:p w14:paraId="7A649AF4" w14:textId="1393ED28" w:rsidR="007636E1" w:rsidRPr="007636E1" w:rsidRDefault="008B1116" w:rsidP="00045901">
      <w:p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r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L</w:t>
      </w:r>
      <w:r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’entité sportive </w:t>
      </w:r>
      <w:r w:rsidR="007636E1"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 xml:space="preserve">reconnaît avoir pris connaissance du présent </w:t>
      </w:r>
      <w:r w:rsidR="00935605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c</w:t>
      </w:r>
      <w:r w:rsidR="007636E1"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t>ode de conduite.</w:t>
      </w:r>
      <w:r w:rsidR="007636E1" w:rsidRPr="007636E1"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  <w:br/>
        <w:t>Il s’engage à le diffuser, à le mettre en œuvre et à veiller à son respect par l’ensemble des acteurs concernés.</w:t>
      </w:r>
    </w:p>
    <w:p w14:paraId="00996FD1" w14:textId="77777777" w:rsidR="007636E1" w:rsidRPr="007636E1" w:rsidRDefault="007636E1" w:rsidP="00045901">
      <w:p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</w:p>
    <w:tbl>
      <w:tblPr>
        <w:tblStyle w:val="TableGrid"/>
        <w:tblW w:w="661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2832"/>
      </w:tblGrid>
      <w:tr w:rsidR="007636E1" w:rsidRPr="007636E1" w14:paraId="67FC6BB5" w14:textId="77777777" w:rsidTr="004D7A14">
        <w:trPr>
          <w:trHeight w:val="365"/>
        </w:trPr>
        <w:tc>
          <w:tcPr>
            <w:tcW w:w="3780" w:type="dxa"/>
            <w:hideMark/>
          </w:tcPr>
          <w:p w14:paraId="19634B11" w14:textId="47A3014F" w:rsidR="007636E1" w:rsidRPr="007636E1" w:rsidRDefault="007636E1" w:rsidP="00045901">
            <w:pPr>
              <w:tabs>
                <w:tab w:val="left" w:pos="5235"/>
              </w:tabs>
              <w:spacing w:line="276" w:lineRule="auto"/>
              <w:jc w:val="both"/>
              <w:rPr>
                <w:rFonts w:ascii="Avenir Next LT Pro Light" w:eastAsia="Calibri" w:hAnsi="Avenir Next LT Pro Light"/>
                <w:lang w:val="fr-FR"/>
              </w:rPr>
            </w:pPr>
            <w:r w:rsidRPr="007636E1">
              <w:rPr>
                <w:rFonts w:ascii="Avenir Next LT Pro Light" w:hAnsi="Avenir Next LT Pro Light"/>
                <w:lang w:val="fr-FR"/>
              </w:rPr>
              <w:t>Nom d</w:t>
            </w:r>
            <w:r w:rsidR="008B1116">
              <w:rPr>
                <w:rFonts w:ascii="Avenir Next LT Pro Light" w:hAnsi="Avenir Next LT Pro Light"/>
                <w:lang w:val="fr-FR"/>
              </w:rPr>
              <w:t>e l</w:t>
            </w:r>
            <w:r w:rsidR="008B1116">
              <w:rPr>
                <w:rFonts w:ascii="Avenir Next LT Pro Light" w:hAnsi="Avenir Next LT Pro Light"/>
                <w:kern w:val="2"/>
                <w:lang w:val="fr-FR"/>
                <w14:ligatures w14:val="standardContextual"/>
              </w:rPr>
              <w:t>’entité sportive</w:t>
            </w:r>
            <w:r w:rsidRPr="007636E1">
              <w:rPr>
                <w:rFonts w:ascii="Avenir Next LT Pro Light" w:hAnsi="Avenir Next LT Pro Light"/>
                <w:lang w:val="fr-FR"/>
              </w:rPr>
              <w:t xml:space="preserve"> :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43901D" w14:textId="77777777" w:rsidR="007636E1" w:rsidRPr="007636E1" w:rsidRDefault="007636E1" w:rsidP="00045901">
            <w:pPr>
              <w:tabs>
                <w:tab w:val="left" w:pos="5235"/>
              </w:tabs>
              <w:spacing w:line="276" w:lineRule="auto"/>
              <w:jc w:val="both"/>
              <w:rPr>
                <w:rFonts w:ascii="Avenir Next LT Pro Light" w:eastAsia="Calibri" w:hAnsi="Avenir Next LT Pro Light"/>
                <w:lang w:val="fr-CH"/>
              </w:rPr>
            </w:pPr>
          </w:p>
        </w:tc>
      </w:tr>
      <w:tr w:rsidR="007636E1" w:rsidRPr="007636E1" w14:paraId="73689233" w14:textId="77777777" w:rsidTr="004D7A14">
        <w:trPr>
          <w:trHeight w:val="377"/>
        </w:trPr>
        <w:tc>
          <w:tcPr>
            <w:tcW w:w="3780" w:type="dxa"/>
            <w:hideMark/>
          </w:tcPr>
          <w:p w14:paraId="59BCE5AB" w14:textId="77777777" w:rsidR="007636E1" w:rsidRPr="007636E1" w:rsidRDefault="007636E1" w:rsidP="00045901">
            <w:pPr>
              <w:tabs>
                <w:tab w:val="left" w:pos="5235"/>
              </w:tabs>
              <w:spacing w:line="276" w:lineRule="auto"/>
              <w:jc w:val="both"/>
              <w:rPr>
                <w:rFonts w:ascii="Avenir Next LT Pro Light" w:eastAsia="Calibri" w:hAnsi="Avenir Next LT Pro Light"/>
                <w:lang w:val="fr-FR"/>
              </w:rPr>
            </w:pPr>
            <w:r w:rsidRPr="007636E1">
              <w:rPr>
                <w:rFonts w:ascii="Avenir Next LT Pro Light" w:hAnsi="Avenir Next LT Pro Light"/>
                <w:lang w:val="fr-FR"/>
              </w:rPr>
              <w:t>Représentant :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C3AA49" w14:textId="77777777" w:rsidR="007636E1" w:rsidRPr="007636E1" w:rsidRDefault="007636E1" w:rsidP="00045901">
            <w:pPr>
              <w:tabs>
                <w:tab w:val="left" w:pos="5235"/>
              </w:tabs>
              <w:spacing w:line="276" w:lineRule="auto"/>
              <w:jc w:val="both"/>
              <w:rPr>
                <w:rFonts w:ascii="Avenir Next LT Pro Light" w:eastAsia="Calibri" w:hAnsi="Avenir Next LT Pro Light"/>
                <w:lang w:val="fr-FR"/>
              </w:rPr>
            </w:pPr>
          </w:p>
        </w:tc>
      </w:tr>
      <w:tr w:rsidR="007636E1" w:rsidRPr="007636E1" w14:paraId="45F44936" w14:textId="77777777" w:rsidTr="004D7A14">
        <w:trPr>
          <w:trHeight w:val="365"/>
        </w:trPr>
        <w:tc>
          <w:tcPr>
            <w:tcW w:w="3780" w:type="dxa"/>
            <w:hideMark/>
          </w:tcPr>
          <w:p w14:paraId="0DBDAD02" w14:textId="77777777" w:rsidR="007636E1" w:rsidRPr="007636E1" w:rsidRDefault="007636E1" w:rsidP="00045901">
            <w:pPr>
              <w:tabs>
                <w:tab w:val="left" w:pos="5235"/>
              </w:tabs>
              <w:spacing w:line="276" w:lineRule="auto"/>
              <w:jc w:val="both"/>
              <w:rPr>
                <w:rFonts w:ascii="Avenir Next LT Pro Light" w:eastAsia="Calibri" w:hAnsi="Avenir Next LT Pro Light"/>
                <w:lang w:val="fr-FR"/>
              </w:rPr>
            </w:pPr>
            <w:r w:rsidRPr="007636E1">
              <w:rPr>
                <w:rFonts w:ascii="Avenir Next LT Pro Light" w:hAnsi="Avenir Next LT Pro Light"/>
                <w:lang w:val="fr-FR"/>
              </w:rPr>
              <w:t>Fonction :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A2F095" w14:textId="77777777" w:rsidR="007636E1" w:rsidRPr="007636E1" w:rsidRDefault="007636E1" w:rsidP="00045901">
            <w:pPr>
              <w:tabs>
                <w:tab w:val="left" w:pos="5235"/>
              </w:tabs>
              <w:spacing w:line="276" w:lineRule="auto"/>
              <w:jc w:val="both"/>
              <w:rPr>
                <w:rFonts w:ascii="Avenir Next LT Pro Light" w:eastAsia="Calibri" w:hAnsi="Avenir Next LT Pro Light"/>
                <w:lang w:val="fr-FR"/>
              </w:rPr>
            </w:pPr>
          </w:p>
        </w:tc>
      </w:tr>
      <w:tr w:rsidR="007636E1" w:rsidRPr="007636E1" w14:paraId="1F320948" w14:textId="77777777" w:rsidTr="004D7A14">
        <w:trPr>
          <w:trHeight w:val="365"/>
        </w:trPr>
        <w:tc>
          <w:tcPr>
            <w:tcW w:w="3780" w:type="dxa"/>
            <w:hideMark/>
          </w:tcPr>
          <w:p w14:paraId="47A98897" w14:textId="77777777" w:rsidR="007636E1" w:rsidRPr="007636E1" w:rsidRDefault="007636E1" w:rsidP="00045901">
            <w:pPr>
              <w:tabs>
                <w:tab w:val="left" w:pos="5235"/>
              </w:tabs>
              <w:spacing w:line="276" w:lineRule="auto"/>
              <w:jc w:val="both"/>
              <w:rPr>
                <w:rFonts w:ascii="Avenir Next LT Pro Light" w:eastAsia="Calibri" w:hAnsi="Avenir Next LT Pro Light"/>
                <w:lang w:val="fr-FR"/>
              </w:rPr>
            </w:pPr>
            <w:r w:rsidRPr="007636E1">
              <w:rPr>
                <w:rFonts w:ascii="Avenir Next LT Pro Light" w:eastAsia="Calibri" w:hAnsi="Avenir Next LT Pro Light"/>
                <w:lang w:val="fr-CH"/>
              </w:rPr>
              <w:t>Signature :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E9D8E1" w14:textId="77777777" w:rsidR="007636E1" w:rsidRPr="007636E1" w:rsidRDefault="007636E1" w:rsidP="00045901">
            <w:pPr>
              <w:tabs>
                <w:tab w:val="left" w:pos="5235"/>
              </w:tabs>
              <w:spacing w:line="276" w:lineRule="auto"/>
              <w:jc w:val="both"/>
              <w:rPr>
                <w:rFonts w:ascii="Avenir Next LT Pro Light" w:eastAsia="Calibri" w:hAnsi="Avenir Next LT Pro Light"/>
                <w:lang w:val="fr-FR"/>
              </w:rPr>
            </w:pPr>
          </w:p>
        </w:tc>
      </w:tr>
      <w:tr w:rsidR="007636E1" w:rsidRPr="007636E1" w14:paraId="516DCAAE" w14:textId="77777777" w:rsidTr="004D7A14">
        <w:trPr>
          <w:trHeight w:val="377"/>
        </w:trPr>
        <w:tc>
          <w:tcPr>
            <w:tcW w:w="3780" w:type="dxa"/>
            <w:hideMark/>
          </w:tcPr>
          <w:p w14:paraId="5D9AC4F4" w14:textId="77777777" w:rsidR="007636E1" w:rsidRPr="007636E1" w:rsidRDefault="007636E1" w:rsidP="00045901">
            <w:pPr>
              <w:tabs>
                <w:tab w:val="left" w:pos="5235"/>
              </w:tabs>
              <w:spacing w:line="276" w:lineRule="auto"/>
              <w:jc w:val="both"/>
              <w:rPr>
                <w:rFonts w:ascii="Avenir Next LT Pro Light" w:eastAsia="Calibri" w:hAnsi="Avenir Next LT Pro Light"/>
                <w:lang w:val="fr-FR"/>
              </w:rPr>
            </w:pPr>
            <w:r w:rsidRPr="007636E1">
              <w:rPr>
                <w:rFonts w:ascii="Avenir Next LT Pro Light" w:eastAsia="Calibri" w:hAnsi="Avenir Next LT Pro Light"/>
                <w:lang w:val="fr-FR"/>
              </w:rPr>
              <w:t>Date :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82AE84" w14:textId="77777777" w:rsidR="007636E1" w:rsidRPr="00F92B6E" w:rsidRDefault="007636E1" w:rsidP="00045901">
            <w:pPr>
              <w:tabs>
                <w:tab w:val="left" w:pos="1003"/>
              </w:tabs>
              <w:spacing w:line="276" w:lineRule="auto"/>
              <w:jc w:val="both"/>
              <w:rPr>
                <w:rFonts w:ascii="Avenir Next LT Pro Light" w:eastAsia="Calibri" w:hAnsi="Avenir Next LT Pro Light"/>
                <w:b/>
                <w:bCs/>
                <w:lang w:val="en-US"/>
              </w:rPr>
            </w:pPr>
            <w:r w:rsidRPr="00F92B6E">
              <w:rPr>
                <w:rFonts w:ascii="Avenir Next LT Pro Light" w:eastAsia="Calibri" w:hAnsi="Avenir Next LT Pro Light"/>
                <w:b/>
                <w:bCs/>
                <w:lang w:val="en-US"/>
              </w:rPr>
              <w:tab/>
            </w:r>
          </w:p>
        </w:tc>
      </w:tr>
    </w:tbl>
    <w:p w14:paraId="7C054F0C" w14:textId="77777777" w:rsidR="007636E1" w:rsidRPr="007636E1" w:rsidRDefault="007636E1" w:rsidP="00045901">
      <w:p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CH"/>
          <w14:ligatures w14:val="standardContextual"/>
        </w:rPr>
      </w:pPr>
    </w:p>
    <w:p w14:paraId="3D6AF713" w14:textId="20871036" w:rsidR="009F5349" w:rsidRPr="004D7A14" w:rsidRDefault="007636E1" w:rsidP="00045901">
      <w:pPr>
        <w:spacing w:line="276" w:lineRule="auto"/>
        <w:jc w:val="both"/>
        <w:rPr>
          <w:rFonts w:ascii="Avenir Next LT Pro Light" w:eastAsia="Aptos" w:hAnsi="Avenir Next LT Pro Light" w:cs="Times New Roman"/>
          <w:kern w:val="2"/>
          <w:lang w:val="fr-FR"/>
          <w14:ligatures w14:val="standardContextual"/>
        </w:rPr>
      </w:pPr>
      <w:r w:rsidRPr="007636E1">
        <w:rPr>
          <w:rFonts w:ascii="Avenir Next LT Pro Light" w:eastAsia="Aptos" w:hAnsi="Avenir Next LT Pro Light" w:cs="Times New Roman"/>
          <w:i/>
          <w:iCs/>
          <w:kern w:val="2"/>
          <w:lang w:val="fr-FR"/>
          <w14:ligatures w14:val="standardContextual"/>
        </w:rPr>
        <w:lastRenderedPageBreak/>
        <w:t>(Modèle générique destiné aux</w:t>
      </w:r>
      <w:r w:rsidR="00F92B6E" w:rsidRPr="00F92B6E">
        <w:rPr>
          <w:rFonts w:ascii="Avenir Next LT Pro Light" w:eastAsia="Aptos" w:hAnsi="Avenir Next LT Pro Light" w:cs="Times New Roman"/>
          <w:i/>
          <w:iCs/>
          <w:kern w:val="2"/>
          <w14:ligatures w14:val="standardContextual"/>
        </w:rPr>
        <w:t xml:space="preserve"> entités sportives</w:t>
      </w:r>
      <w:r w:rsidR="00F92B6E">
        <w:rPr>
          <w:rFonts w:ascii="Avenir Next LT Pro Light" w:eastAsia="Aptos" w:hAnsi="Avenir Next LT Pro Light" w:cs="Times New Roman"/>
          <w:i/>
          <w:iCs/>
          <w:kern w:val="2"/>
          <w14:ligatures w14:val="standardContextual"/>
        </w:rPr>
        <w:t>,</w:t>
      </w:r>
      <w:r w:rsidR="00F92B6E" w:rsidRPr="007636E1">
        <w:rPr>
          <w:rFonts w:ascii="Avenir Next LT Pro Light" w:eastAsia="Aptos" w:hAnsi="Avenir Next LT Pro Light" w:cs="Times New Roman"/>
          <w:i/>
          <w:iCs/>
          <w:kern w:val="2"/>
          <w:lang w:val="fr-FR"/>
          <w14:ligatures w14:val="standardContextual"/>
        </w:rPr>
        <w:t xml:space="preserve"> </w:t>
      </w:r>
      <w:r w:rsidRPr="007636E1">
        <w:rPr>
          <w:rFonts w:ascii="Avenir Next LT Pro Light" w:eastAsia="Aptos" w:hAnsi="Avenir Next LT Pro Light" w:cs="Times New Roman"/>
          <w:i/>
          <w:iCs/>
          <w:kern w:val="2"/>
          <w:lang w:val="fr-FR"/>
          <w14:ligatures w14:val="standardContextual"/>
        </w:rPr>
        <w:t xml:space="preserve">aligné avec les </w:t>
      </w:r>
      <w:r w:rsidR="00935605">
        <w:rPr>
          <w:rFonts w:ascii="Avenir Next LT Pro Light" w:eastAsia="Aptos" w:hAnsi="Avenir Next LT Pro Light" w:cs="Times New Roman"/>
          <w:i/>
          <w:iCs/>
          <w:kern w:val="2"/>
          <w:lang w:val="fr-FR"/>
          <w14:ligatures w14:val="standardContextual"/>
        </w:rPr>
        <w:t>c</w:t>
      </w:r>
      <w:r w:rsidRPr="007636E1">
        <w:rPr>
          <w:rFonts w:ascii="Avenir Next LT Pro Light" w:eastAsia="Aptos" w:hAnsi="Avenir Next LT Pro Light" w:cs="Times New Roman"/>
          <w:i/>
          <w:iCs/>
          <w:kern w:val="2"/>
          <w:lang w:val="fr-FR"/>
          <w14:ligatures w14:val="standardContextual"/>
        </w:rPr>
        <w:t xml:space="preserve">odes de conduite des </w:t>
      </w:r>
      <w:r w:rsidR="0087658B">
        <w:rPr>
          <w:rFonts w:ascii="Avenir Next LT Pro Light" w:eastAsia="Aptos" w:hAnsi="Avenir Next LT Pro Light" w:cs="Times New Roman"/>
          <w:i/>
          <w:iCs/>
          <w:kern w:val="2"/>
          <w:lang w:val="fr-FR"/>
          <w14:ligatures w14:val="standardContextual"/>
        </w:rPr>
        <w:t xml:space="preserve">athlètes / </w:t>
      </w:r>
      <w:r w:rsidR="00F92B6E">
        <w:rPr>
          <w:rFonts w:ascii="Avenir Next LT Pro Light" w:eastAsia="Aptos" w:hAnsi="Avenir Next LT Pro Light" w:cs="Times New Roman"/>
          <w:i/>
          <w:iCs/>
          <w:kern w:val="2"/>
          <w:lang w:val="fr-FR"/>
          <w14:ligatures w14:val="standardContextual"/>
        </w:rPr>
        <w:t>sportifs</w:t>
      </w:r>
      <w:r w:rsidRPr="007636E1">
        <w:rPr>
          <w:rFonts w:ascii="Avenir Next LT Pro Light" w:eastAsia="Aptos" w:hAnsi="Avenir Next LT Pro Light" w:cs="Times New Roman"/>
          <w:i/>
          <w:iCs/>
          <w:kern w:val="2"/>
          <w:lang w:val="fr-FR"/>
          <w14:ligatures w14:val="standardContextual"/>
        </w:rPr>
        <w:t xml:space="preserve"> et des entraîneurs / coachs, le cadre luxembourgeois et les standards européens et internationaux en matière de </w:t>
      </w:r>
      <w:proofErr w:type="spellStart"/>
      <w:r w:rsidRPr="007636E1">
        <w:rPr>
          <w:rFonts w:ascii="Avenir Next LT Pro Light" w:eastAsia="Aptos" w:hAnsi="Avenir Next LT Pro Light" w:cs="Times New Roman"/>
          <w:i/>
          <w:iCs/>
          <w:kern w:val="2"/>
          <w:lang w:val="fr-FR"/>
          <w14:ligatures w14:val="standardContextual"/>
        </w:rPr>
        <w:t>safeguarding</w:t>
      </w:r>
      <w:proofErr w:type="spellEnd"/>
      <w:r w:rsidRPr="007636E1">
        <w:rPr>
          <w:rFonts w:ascii="Avenir Next LT Pro Light" w:eastAsia="Aptos" w:hAnsi="Avenir Next LT Pro Light" w:cs="Times New Roman"/>
          <w:i/>
          <w:iCs/>
          <w:kern w:val="2"/>
          <w:lang w:val="fr-FR"/>
          <w14:ligatures w14:val="standardContextual"/>
        </w:rPr>
        <w:t>.)</w:t>
      </w:r>
    </w:p>
    <w:sectPr w:rsidR="009F5349" w:rsidRPr="004D7A14" w:rsidSect="0020478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11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7D021" w14:textId="77777777" w:rsidR="000A6857" w:rsidRDefault="000A6857" w:rsidP="009F5349">
      <w:r>
        <w:separator/>
      </w:r>
    </w:p>
  </w:endnote>
  <w:endnote w:type="continuationSeparator" w:id="0">
    <w:p w14:paraId="3284A076" w14:textId="77777777" w:rsidR="000A6857" w:rsidRDefault="000A6857" w:rsidP="009F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22C9C" w14:textId="583294E9" w:rsidR="005353F4" w:rsidRDefault="005353F4" w:rsidP="00AC5A51">
    <w:pPr>
      <w:pStyle w:val="Footer"/>
      <w:tabs>
        <w:tab w:val="clear" w:pos="9026"/>
      </w:tabs>
      <w:ind w:left="-14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88D73" w14:textId="5DC2F062" w:rsidR="005353F4" w:rsidRDefault="005353F4" w:rsidP="00AC5A51">
    <w:pPr>
      <w:pStyle w:val="Footer"/>
      <w:ind w:hanging="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CC139" w14:textId="77777777" w:rsidR="000A6857" w:rsidRDefault="000A6857" w:rsidP="009F5349">
      <w:r>
        <w:separator/>
      </w:r>
    </w:p>
  </w:footnote>
  <w:footnote w:type="continuationSeparator" w:id="0">
    <w:p w14:paraId="7FD208C5" w14:textId="77777777" w:rsidR="000A6857" w:rsidRDefault="000A6857" w:rsidP="009F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285C" w14:textId="77777777" w:rsidR="004E61C3" w:rsidRDefault="000A6857">
    <w:pPr>
      <w:pStyle w:val="Header"/>
    </w:pPr>
    <w:r>
      <w:rPr>
        <w:noProof/>
      </w:rPr>
      <w:pict w14:anchorId="38699D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67.2pt;height:660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LIS - filigrane 5% - Bleu clair"/>
          <w10:wrap anchorx="margin" anchory="margin"/>
        </v:shape>
      </w:pict>
    </w:r>
    <w:r w:rsidR="004C5844">
      <w:rPr>
        <w:noProof/>
      </w:rPr>
      <w:drawing>
        <wp:anchor distT="0" distB="0" distL="114300" distR="114300" simplePos="0" relativeHeight="251657216" behindDoc="1" locked="0" layoutInCell="0" allowOverlap="1" wp14:anchorId="2DB4D595" wp14:editId="1E73B9B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3440" cy="8386445"/>
          <wp:effectExtent l="0" t="0" r="0" b="0"/>
          <wp:wrapNone/>
          <wp:docPr id="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3440" cy="8386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B77CB" w14:textId="17DA2664" w:rsidR="00204788" w:rsidRDefault="00204788" w:rsidP="00854958">
    <w:pPr>
      <w:pStyle w:val="Header"/>
      <w:ind w:left="-14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41FBF" w14:textId="673C857E" w:rsidR="00204788" w:rsidRPr="00204788" w:rsidRDefault="00204788" w:rsidP="00204788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4A2"/>
    <w:multiLevelType w:val="multilevel"/>
    <w:tmpl w:val="37041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F7EAD"/>
    <w:multiLevelType w:val="multilevel"/>
    <w:tmpl w:val="F000F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81C27"/>
    <w:multiLevelType w:val="multilevel"/>
    <w:tmpl w:val="97E6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A34548"/>
    <w:multiLevelType w:val="multilevel"/>
    <w:tmpl w:val="5C9C48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5D5FC9"/>
    <w:multiLevelType w:val="multilevel"/>
    <w:tmpl w:val="E57EC6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1477F9"/>
    <w:multiLevelType w:val="multilevel"/>
    <w:tmpl w:val="D122A2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401471"/>
    <w:multiLevelType w:val="multilevel"/>
    <w:tmpl w:val="EA20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3F5859"/>
    <w:multiLevelType w:val="multilevel"/>
    <w:tmpl w:val="4A88DB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D3015C"/>
    <w:multiLevelType w:val="multilevel"/>
    <w:tmpl w:val="87E84B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34341B"/>
    <w:multiLevelType w:val="multilevel"/>
    <w:tmpl w:val="51A8FE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C07856"/>
    <w:multiLevelType w:val="multilevel"/>
    <w:tmpl w:val="809A21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143657"/>
    <w:multiLevelType w:val="hybridMultilevel"/>
    <w:tmpl w:val="9606D7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5468183">
    <w:abstractNumId w:val="6"/>
  </w:num>
  <w:num w:numId="2" w16cid:durableId="1174295847">
    <w:abstractNumId w:val="2"/>
  </w:num>
  <w:num w:numId="3" w16cid:durableId="671639260">
    <w:abstractNumId w:val="3"/>
  </w:num>
  <w:num w:numId="4" w16cid:durableId="1784423013">
    <w:abstractNumId w:val="5"/>
  </w:num>
  <w:num w:numId="5" w16cid:durableId="1233002332">
    <w:abstractNumId w:val="10"/>
  </w:num>
  <w:num w:numId="6" w16cid:durableId="1515224310">
    <w:abstractNumId w:val="9"/>
  </w:num>
  <w:num w:numId="7" w16cid:durableId="1968120980">
    <w:abstractNumId w:val="1"/>
  </w:num>
  <w:num w:numId="8" w16cid:durableId="254703778">
    <w:abstractNumId w:val="8"/>
  </w:num>
  <w:num w:numId="9" w16cid:durableId="302933548">
    <w:abstractNumId w:val="4"/>
  </w:num>
  <w:num w:numId="10" w16cid:durableId="165748805">
    <w:abstractNumId w:val="0"/>
  </w:num>
  <w:num w:numId="11" w16cid:durableId="1891261059">
    <w:abstractNumId w:val="7"/>
  </w:num>
  <w:num w:numId="12" w16cid:durableId="14136967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49"/>
    <w:rsid w:val="00014FD8"/>
    <w:rsid w:val="00045901"/>
    <w:rsid w:val="00057E6C"/>
    <w:rsid w:val="0008534D"/>
    <w:rsid w:val="00092C34"/>
    <w:rsid w:val="00096CAF"/>
    <w:rsid w:val="000A5719"/>
    <w:rsid w:val="000A6857"/>
    <w:rsid w:val="000C42C1"/>
    <w:rsid w:val="001306D7"/>
    <w:rsid w:val="00150AF1"/>
    <w:rsid w:val="00154561"/>
    <w:rsid w:val="001D3F2A"/>
    <w:rsid w:val="00200553"/>
    <w:rsid w:val="00204788"/>
    <w:rsid w:val="00220FE1"/>
    <w:rsid w:val="00222B56"/>
    <w:rsid w:val="00226C27"/>
    <w:rsid w:val="00233E3E"/>
    <w:rsid w:val="00237C00"/>
    <w:rsid w:val="00240115"/>
    <w:rsid w:val="00240FE6"/>
    <w:rsid w:val="002552B3"/>
    <w:rsid w:val="002A34FC"/>
    <w:rsid w:val="002A64CC"/>
    <w:rsid w:val="002B2685"/>
    <w:rsid w:val="002D447F"/>
    <w:rsid w:val="00314733"/>
    <w:rsid w:val="00326841"/>
    <w:rsid w:val="003473BA"/>
    <w:rsid w:val="003719CF"/>
    <w:rsid w:val="003914CC"/>
    <w:rsid w:val="003A0541"/>
    <w:rsid w:val="003A71F6"/>
    <w:rsid w:val="003D7928"/>
    <w:rsid w:val="004321F6"/>
    <w:rsid w:val="00454B5D"/>
    <w:rsid w:val="00462FCD"/>
    <w:rsid w:val="004A2F4B"/>
    <w:rsid w:val="004C5844"/>
    <w:rsid w:val="004D7A14"/>
    <w:rsid w:val="004E61C3"/>
    <w:rsid w:val="00511F8E"/>
    <w:rsid w:val="005353F4"/>
    <w:rsid w:val="005659DB"/>
    <w:rsid w:val="0057302A"/>
    <w:rsid w:val="00592EFC"/>
    <w:rsid w:val="005B0DE5"/>
    <w:rsid w:val="005B7C8E"/>
    <w:rsid w:val="00606187"/>
    <w:rsid w:val="0064338B"/>
    <w:rsid w:val="00667CC3"/>
    <w:rsid w:val="006A4C2E"/>
    <w:rsid w:val="006C1957"/>
    <w:rsid w:val="006F4774"/>
    <w:rsid w:val="00704962"/>
    <w:rsid w:val="007636E1"/>
    <w:rsid w:val="0076795A"/>
    <w:rsid w:val="007B3F96"/>
    <w:rsid w:val="007B50C9"/>
    <w:rsid w:val="00810CB3"/>
    <w:rsid w:val="00844C66"/>
    <w:rsid w:val="008520DD"/>
    <w:rsid w:val="00854958"/>
    <w:rsid w:val="0087658B"/>
    <w:rsid w:val="008B1116"/>
    <w:rsid w:val="008B3064"/>
    <w:rsid w:val="008D2893"/>
    <w:rsid w:val="008E5D71"/>
    <w:rsid w:val="008F0CD6"/>
    <w:rsid w:val="00935605"/>
    <w:rsid w:val="009C152A"/>
    <w:rsid w:val="009D5E05"/>
    <w:rsid w:val="009F5349"/>
    <w:rsid w:val="00A15484"/>
    <w:rsid w:val="00A16891"/>
    <w:rsid w:val="00A24CB5"/>
    <w:rsid w:val="00A94946"/>
    <w:rsid w:val="00A95DCE"/>
    <w:rsid w:val="00A97963"/>
    <w:rsid w:val="00AB5686"/>
    <w:rsid w:val="00AC5A51"/>
    <w:rsid w:val="00B05CBA"/>
    <w:rsid w:val="00B130D8"/>
    <w:rsid w:val="00B52CEE"/>
    <w:rsid w:val="00B617BC"/>
    <w:rsid w:val="00B86F5E"/>
    <w:rsid w:val="00B876CC"/>
    <w:rsid w:val="00BA0A4C"/>
    <w:rsid w:val="00C40D60"/>
    <w:rsid w:val="00C93062"/>
    <w:rsid w:val="00CA7CD3"/>
    <w:rsid w:val="00CE11E3"/>
    <w:rsid w:val="00D4789D"/>
    <w:rsid w:val="00D51B6D"/>
    <w:rsid w:val="00DA17A2"/>
    <w:rsid w:val="00DD3CC1"/>
    <w:rsid w:val="00DE04E8"/>
    <w:rsid w:val="00DE3C9F"/>
    <w:rsid w:val="00DE682D"/>
    <w:rsid w:val="00DF0D4A"/>
    <w:rsid w:val="00E34C25"/>
    <w:rsid w:val="00E76CEB"/>
    <w:rsid w:val="00EC3505"/>
    <w:rsid w:val="00EF5A3C"/>
    <w:rsid w:val="00F34242"/>
    <w:rsid w:val="00F835DE"/>
    <w:rsid w:val="00F92B6E"/>
    <w:rsid w:val="00F95077"/>
    <w:rsid w:val="00FE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80B74"/>
  <w15:chartTrackingRefBased/>
  <w15:docId w15:val="{6C7A13BC-076A-4F1C-9846-5418DB47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349"/>
    <w:pPr>
      <w:spacing w:after="0" w:line="240" w:lineRule="auto"/>
    </w:pPr>
    <w:rPr>
      <w:kern w:val="0"/>
      <w:lang w:val="fr-L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3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3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34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34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34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34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34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34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34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3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3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3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3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5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34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5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34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5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349"/>
    <w:pPr>
      <w:spacing w:after="160" w:line="278" w:lineRule="auto"/>
      <w:ind w:left="720"/>
      <w:contextualSpacing/>
    </w:pPr>
    <w:rPr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5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3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5349"/>
    <w:pPr>
      <w:tabs>
        <w:tab w:val="center" w:pos="4513"/>
        <w:tab w:val="right" w:pos="9026"/>
      </w:tabs>
    </w:pPr>
    <w:rPr>
      <w:kern w:val="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F5349"/>
  </w:style>
  <w:style w:type="paragraph" w:styleId="Footer">
    <w:name w:val="footer"/>
    <w:basedOn w:val="Normal"/>
    <w:link w:val="FooterChar"/>
    <w:uiPriority w:val="99"/>
    <w:unhideWhenUsed/>
    <w:rsid w:val="009F5349"/>
    <w:pPr>
      <w:tabs>
        <w:tab w:val="center" w:pos="4513"/>
        <w:tab w:val="right" w:pos="9026"/>
      </w:tabs>
    </w:pPr>
    <w:rPr>
      <w:kern w:val="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F5349"/>
  </w:style>
  <w:style w:type="paragraph" w:customStyle="1" w:styleId="aupe">
    <w:name w:val="_aupe"/>
    <w:basedOn w:val="Normal"/>
    <w:rsid w:val="0085495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upe1">
    <w:name w:val="_aupe1"/>
    <w:basedOn w:val="DefaultParagraphFont"/>
    <w:rsid w:val="00854958"/>
  </w:style>
  <w:style w:type="table" w:styleId="TableGrid">
    <w:name w:val="Table Grid"/>
    <w:basedOn w:val="TableNormal"/>
    <w:uiPriority w:val="39"/>
    <w:rsid w:val="007636E1"/>
    <w:pPr>
      <w:spacing w:after="0" w:line="240" w:lineRule="auto"/>
    </w:pPr>
    <w:rPr>
      <w:rFonts w:ascii="Aptos" w:eastAsia="Aptos" w:hAnsi="Aptos" w:cs="Times New Roman"/>
      <w:kern w:val="0"/>
      <w:lang w:val="fr-L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ef3187-b8e7-48c4-9dd8-53e198943af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A7EAA77912FA45A81C61ADC4A5A41E" ma:contentTypeVersion="15" ma:contentTypeDescription="Ein neues Dokument erstellen." ma:contentTypeScope="" ma:versionID="af25fd7e7ff5dd9bbb773105c1890f43">
  <xsd:schema xmlns:xsd="http://www.w3.org/2001/XMLSchema" xmlns:xs="http://www.w3.org/2001/XMLSchema" xmlns:p="http://schemas.microsoft.com/office/2006/metadata/properties" xmlns:ns3="6fef3187-b8e7-48c4-9dd8-53e198943af3" xmlns:ns4="8d629022-fe4a-406a-9dd6-7063a2e9c27c" targetNamespace="http://schemas.microsoft.com/office/2006/metadata/properties" ma:root="true" ma:fieldsID="31fb75d5e55a35c60b78d0981b93fd64" ns3:_="" ns4:_="">
    <xsd:import namespace="6fef3187-b8e7-48c4-9dd8-53e198943af3"/>
    <xsd:import namespace="8d629022-fe4a-406a-9dd6-7063a2e9c2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f3187-b8e7-48c4-9dd8-53e198943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29022-fe4a-406a-9dd6-7063a2e9c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6D92F1-A58E-4791-94CC-81B8B4163833}">
  <ds:schemaRefs>
    <ds:schemaRef ds:uri="http://schemas.microsoft.com/office/2006/metadata/properties"/>
    <ds:schemaRef ds:uri="http://schemas.microsoft.com/office/infopath/2007/PartnerControls"/>
    <ds:schemaRef ds:uri="6fef3187-b8e7-48c4-9dd8-53e198943af3"/>
  </ds:schemaRefs>
</ds:datastoreItem>
</file>

<file path=customXml/itemProps2.xml><?xml version="1.0" encoding="utf-8"?>
<ds:datastoreItem xmlns:ds="http://schemas.openxmlformats.org/officeDocument/2006/customXml" ds:itemID="{2EE50A04-4042-534B-A756-A514A9FE93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927519-3374-42C7-8D6A-2C11ADB83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f3187-b8e7-48c4-9dd8-53e198943af3"/>
    <ds:schemaRef ds:uri="8d629022-fe4a-406a-9dd6-7063a2e9c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EEA45F-50E7-49AC-9701-D9B32178B4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695</Words>
  <Characters>3963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ALAD</dc:creator>
  <cp:keywords/>
  <dc:description/>
  <cp:lastModifiedBy>Lisa Altmann</cp:lastModifiedBy>
  <cp:revision>18</cp:revision>
  <cp:lastPrinted>2026-02-13T19:08:00Z</cp:lastPrinted>
  <dcterms:created xsi:type="dcterms:W3CDTF">2026-02-18T09:54:00Z</dcterms:created>
  <dcterms:modified xsi:type="dcterms:W3CDTF">2026-02-25T16:42:00Z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0x01010011A7EAA77912FA45A81C61ADC4A5A41E</vt:lpwstr>
  </property>
</Properties>
</file>